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ptos" w:hAnsi="Aptos"/>
          <w:b/>
          <w:color w:val="CFA24F"/>
          <w:sz w:val="20"/>
        </w:rPr>
        <w:t>CLEOPAS</w:t>
      </w:r>
    </w:p>
    <w:p>
      <w:r>
        <w:rPr>
          <w:rFonts w:ascii="Georgia" w:hAnsi="Georgia"/>
          <w:b/>
          <w:color w:val="22372B"/>
          <w:sz w:val="60"/>
        </w:rPr>
        <w:t>Business + Capital Timeline v2</w:t>
      </w:r>
    </w:p>
    <w:p>
      <w:r>
        <w:rPr>
          <w:rFonts w:ascii="Aptos" w:hAnsi="Aptos"/>
          <w:color w:val="6C786F"/>
          <w:sz w:val="24"/>
        </w:rPr>
        <w:t>One capitalisation. Fast learning. Protected runway.</w:t>
      </w:r>
    </w:p>
    <w:p>
      <w:r>
        <w:t>30 August 2026 · Working investor draft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NOW · AUGUST 2026</w:t>
      </w:r>
    </w:p>
    <w:p>
      <w:r>
        <w:rPr>
          <w:rFonts w:ascii="Georgia" w:hAnsi="Georgia"/>
          <w:b/>
          <w:color w:val="22372B"/>
          <w:sz w:val="40"/>
        </w:rPr>
        <w:t>Method + research proof</w:t>
      </w:r>
    </w:p>
    <w:p>
      <w:pPr>
        <w:spacing w:after="140" w:line="269" w:lineRule="auto"/>
      </w:pPr>
      <w:r>
        <w:rPr>
          <w:rFonts w:ascii="Aptos" w:hAnsi="Aptos"/>
          <w:sz w:val="21"/>
        </w:rPr>
        <w:t>Burial pilot externally stress-tested. Claim decomposition, source dependence, evidence-family separation and maximum defensible language now form the current architecture.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Founder-led work, current engineer, external reviewers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Existing capital / founder-funded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Ready to encode the reviewed method into a real product.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0 TO 3 MONTHS</w:t>
      </w:r>
    </w:p>
    <w:p>
      <w:r>
        <w:rPr>
          <w:rFonts w:ascii="Georgia" w:hAnsi="Georgia"/>
          <w:b/>
          <w:color w:val="22372B"/>
          <w:sz w:val="40"/>
        </w:rPr>
        <w:t>Build + private alpha</w:t>
      </w:r>
    </w:p>
    <w:p>
      <w:pPr>
        <w:spacing w:after="140" w:line="269" w:lineRule="auto"/>
      </w:pPr>
      <w:r>
        <w:rPr>
          <w:rFonts w:ascii="Aptos" w:hAnsi="Aptos"/>
          <w:sz w:val="21"/>
        </w:rPr>
        <w:t>4 to 6 engineers begin the governed product while the internal research team starts the first 10 Gold Questions and prepares the wider 50-question programme. Private alpha begins in weeks 6 to 12.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Engineering 4-6; research ops 4-6; external specialists; 25-100 alpha users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Front-loaded engineering, research setup, compute, legal and first scholar reviews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Can the live system answer unscripted questions without outrunning evidence?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3 TO 6 MONTHS</w:t>
      </w:r>
    </w:p>
    <w:p>
      <w:r>
        <w:rPr>
          <w:rFonts w:ascii="Georgia" w:hAnsi="Georgia"/>
          <w:b/>
          <w:color w:val="22372B"/>
          <w:sz w:val="40"/>
        </w:rPr>
        <w:t>Closed beta + research factory</w:t>
      </w:r>
    </w:p>
    <w:p>
      <w:pPr>
        <w:spacing w:after="140" w:line="269" w:lineRule="auto"/>
      </w:pPr>
      <w:r>
        <w:rPr>
          <w:rFonts w:ascii="Aptos" w:hAnsi="Aptos"/>
          <w:sz w:val="21"/>
        </w:rPr>
        <w:t>Staged paid cohorts begin. Research and engineering operate in parallel. Questions 11 to 20 introduce harder counterarguments. The system starts assisting claim decomposition and research preparation.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Hundreds of users; research and engineering teams both active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Paid users, specialist review, tooling, evaluation and product iteration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Does deep paid use expose repeatable failure modes and real question demand?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6 TO 12 MONTHS</w:t>
      </w:r>
    </w:p>
    <w:p>
      <w:r>
        <w:rPr>
          <w:rFonts w:ascii="Georgia" w:hAnsi="Georgia"/>
          <w:b/>
          <w:color w:val="22372B"/>
          <w:sz w:val="40"/>
        </w:rPr>
        <w:t>Expanded beta + first 50 governed questions</w:t>
      </w:r>
    </w:p>
    <w:p>
      <w:pPr>
        <w:spacing w:after="140" w:line="269" w:lineRule="auto"/>
      </w:pPr>
      <w:r>
        <w:rPr>
          <w:rFonts w:ascii="Aptos" w:hAnsi="Aptos"/>
          <w:sz w:val="21"/>
        </w:rPr>
        <w:t>Build toward approximately 1,000 intensive paid participants and 50 deeply governed user-facing questions. User conversation data begins changing research priorities.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Up to ~1,000 intensive testers over staged cohorts; broader scholar network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Major beta spend, 50-question peer review, continued engineering and research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Are research hours per governed topic falling while integrity holds?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12 TO 24 MONTHS</w:t>
      </w:r>
    </w:p>
    <w:p>
      <w:r>
        <w:rPr>
          <w:rFonts w:ascii="Georgia" w:hAnsi="Georgia"/>
          <w:b/>
          <w:color w:val="22372B"/>
          <w:sz w:val="40"/>
        </w:rPr>
        <w:t>Demand-led Evidence Landscape</w:t>
      </w:r>
    </w:p>
    <w:p>
      <w:pPr>
        <w:spacing w:after="140" w:line="269" w:lineRule="auto"/>
      </w:pPr>
      <w:r>
        <w:rPr>
          <w:rFonts w:ascii="Aptos" w:hAnsi="Aptos"/>
          <w:sz w:val="21"/>
        </w:rPr>
        <w:t>Topic ordering becomes increasingly user-led. System-assisted research improves. External experts focus on contested frontier judgments. Revenue and supporter economics are tested without making survival depend on them.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Growing research network, engineering scale, selected partners and broader beta/public cohorts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Product scale, research expansion, sovereignty pathway, controlled distribution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Do users, researchers and the system form a repeatable learning flywheel?</w:t>
      </w:r>
    </w:p>
    <w:p>
      <w:pPr>
        <w:spacing w:before="360"/>
      </w:pPr>
      <w:r>
        <w:rPr>
          <w:rFonts w:ascii="Aptos" w:hAnsi="Aptos"/>
          <w:b/>
          <w:color w:val="CFA24F"/>
          <w:sz w:val="17"/>
        </w:rPr>
        <w:t>24+ MONTHS</w:t>
      </w:r>
    </w:p>
    <w:p>
      <w:r>
        <w:rPr>
          <w:rFonts w:ascii="Georgia" w:hAnsi="Georgia"/>
          <w:b/>
          <w:color w:val="22372B"/>
          <w:sz w:val="40"/>
        </w:rPr>
        <w:t>North Star</w:t>
      </w:r>
    </w:p>
    <w:p>
      <w:pPr>
        <w:spacing w:after="140" w:line="269" w:lineRule="auto"/>
      </w:pPr>
      <w:r>
        <w:rPr>
          <w:rFonts w:ascii="Aptos" w:hAnsi="Aptos"/>
          <w:sz w:val="21"/>
        </w:rPr>
        <w:t>A living human-governed Evidence Landscape where real user questions reveal what should be researched next, AI accelerates the work, and humans retain authority over governed knowledge.</w:t>
      </w:r>
    </w:p>
    <w:p>
      <w:pPr>
        <w:spacing w:after="140" w:line="269" w:lineRule="auto"/>
      </w:pPr>
      <w:r>
        <w:rPr>
          <w:rFonts w:ascii="Aptos" w:hAnsi="Aptos"/>
          <w:sz w:val="21"/>
        </w:rPr>
        <w:t>People: Research organisation potentially as strategically important as engineering</w:t>
      </w:r>
    </w:p>
    <w:p>
      <w:pPr>
        <w:spacing w:after="140" w:line="269" w:lineRule="auto"/>
      </w:pPr>
      <w:r>
        <w:rPr>
          <w:rFonts w:ascii="Aptos" w:hAnsi="Aptos"/>
          <w:sz w:val="21"/>
        </w:rPr>
        <w:t>Capital: Deploy reserve only against proven learning and growth</w:t>
      </w:r>
    </w:p>
    <w:p>
      <w:pPr>
        <w:spacing w:after="140" w:line="269" w:lineRule="auto"/>
      </w:pPr>
      <w:r>
        <w:rPr>
          <w:rFonts w:ascii="Aptos" w:hAnsi="Aptos"/>
          <w:sz w:val="21"/>
        </w:rPr>
        <w:t>Decision gate: Can Cleopas expand breadth without integrity degrading?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