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Arial" w:hAnsi="Arial"/>
          <w:b/>
          <w:color w:val="CFA24F"/>
          <w:sz w:val="22"/>
        </w:rPr>
        <w:t>CLEOPAS</w:t>
      </w:r>
    </w:p>
    <w:p>
      <w:pPr>
        <w:pStyle w:val="Title"/>
      </w:pPr>
      <w:r>
        <w:t>A$15M Use of Funds</w:t>
      </w:r>
    </w:p>
    <w:p>
      <w:r>
        <w:rPr>
          <w:rFonts w:ascii="Georgia" w:hAnsi="Georgia"/>
          <w:color w:val="36492E"/>
          <w:sz w:val="34"/>
        </w:rPr>
        <w:t>Capital that buys speed, evidence and independence</w:t>
      </w:r>
    </w:p>
    <w:p>
      <w:pPr>
        <w:spacing w:after="140"/>
      </w:pPr>
      <w:r>
        <w:rPr>
          <w:color w:val="36492E"/>
          <w:sz w:val="23"/>
        </w:rPr>
        <w:t>The capital plan should be inspectable. Every major dollar should make the research better, the product safer, the team faster or the user learning deeper.</w:t>
      </w:r>
    </w:p>
    <w:tbl>
      <w:tblPr>
        <w:tblW w:type="auto" w:w="0"/>
        <w:tblLayout w:type="fixed"/>
        <w:tblLook w:firstColumn="1" w:firstRow="1" w:lastColumn="0" w:lastRow="0" w:noHBand="0" w:noVBand="1" w:val="04A0"/>
      </w:tblPr>
      <w:tblGrid>
        <w:gridCol w:w="3456"/>
        <w:gridCol w:w="3456"/>
        <w:gridCol w:w="3456"/>
      </w:tblGrid>
      <w:tr>
        <w:tc>
          <w:tcPr>
            <w:tcW w:type="dxa" w:w="3456"/>
            <w:shd w:fill="22372B"/>
            <w:tcMar>
              <w:top w:w="180" w:type="dxa"/>
              <w:start w:w="160" w:type="dxa"/>
              <w:bottom w:w="180" w:type="dxa"/>
              <w:end w:w="160" w:type="dxa"/>
            </w:tcMar>
            <w:vAlign w:val="center"/>
          </w:tcPr>
          <w:p>
            <w:pPr>
              <w:jc w:val="center"/>
            </w:pPr>
            <w:r>
              <w:rPr>
                <w:rFonts w:ascii="Georgia" w:hAnsi="Georgia"/>
                <w:b/>
                <w:color w:val="DFC97B"/>
                <w:sz w:val="36"/>
              </w:rPr>
              <w:t>A$15.0M</w:t>
              <w:br/>
            </w:r>
            <w:r>
              <w:rPr>
                <w:color w:val="EDE6D8"/>
                <w:sz w:val="17"/>
              </w:rPr>
              <w:t>recommended one-time capitalisation</w:t>
            </w:r>
          </w:p>
        </w:tc>
        <w:tc>
          <w:tcPr>
            <w:tcW w:type="dxa" w:w="3456"/>
            <w:shd w:fill="22372B"/>
            <w:tcMar>
              <w:top w:w="180" w:type="dxa"/>
              <w:start w:w="160" w:type="dxa"/>
              <w:bottom w:w="180" w:type="dxa"/>
              <w:end w:w="160" w:type="dxa"/>
            </w:tcMar>
            <w:vAlign w:val="center"/>
          </w:tcPr>
          <w:p>
            <w:pPr>
              <w:jc w:val="center"/>
            </w:pPr>
            <w:r>
              <w:rPr>
                <w:rFonts w:ascii="Georgia" w:hAnsi="Georgia"/>
                <w:b/>
                <w:color w:val="DFC97B"/>
                <w:sz w:val="36"/>
              </w:rPr>
              <w:t>A$9.05M</w:t>
              <w:br/>
            </w:r>
            <w:r>
              <w:rPr>
                <w:color w:val="EDE6D8"/>
                <w:sz w:val="17"/>
              </w:rPr>
              <w:t>indicative first 24 months</w:t>
            </w:r>
          </w:p>
        </w:tc>
        <w:tc>
          <w:tcPr>
            <w:tcW w:type="dxa" w:w="3456"/>
            <w:shd w:fill="22372B"/>
            <w:tcMar>
              <w:top w:w="180" w:type="dxa"/>
              <w:start w:w="160" w:type="dxa"/>
              <w:bottom w:w="180" w:type="dxa"/>
              <w:end w:w="160" w:type="dxa"/>
            </w:tcMar>
            <w:vAlign w:val="center"/>
          </w:tcPr>
          <w:p>
            <w:pPr>
              <w:jc w:val="center"/>
            </w:pPr>
            <w:r>
              <w:rPr>
                <w:rFonts w:ascii="Georgia" w:hAnsi="Georgia"/>
                <w:b/>
                <w:color w:val="DFC97B"/>
                <w:sz w:val="36"/>
              </w:rPr>
              <w:t>A$5.95M</w:t>
              <w:br/>
            </w:r>
            <w:r>
              <w:rPr>
                <w:color w:val="EDE6D8"/>
                <w:sz w:val="17"/>
              </w:rPr>
              <w:t>protected strategic reserve</w:t>
            </w:r>
          </w:p>
        </w:tc>
      </w:tr>
    </w:tbl>
    <w:p/>
    <w:p>
      <w:pPr>
        <w:spacing w:before="200" w:after="60"/>
      </w:pPr>
      <w:r>
        <w:rPr>
          <w:rFonts w:ascii="Arial" w:hAnsi="Arial"/>
          <w:b/>
          <w:color w:val="CFA24F"/>
          <w:sz w:val="16"/>
        </w:rPr>
        <w:t>01 · WHY THIS PAGE EXISTS</w:t>
      </w:r>
    </w:p>
    <w:p>
      <w:pPr>
        <w:pStyle w:val="Heading1"/>
      </w:pPr>
      <w:r>
        <w:t>The capital plan explains the business in dollars.</w:t>
      </w:r>
    </w:p>
    <w:p>
      <w:pPr>
        <w:spacing w:after="140"/>
      </w:pPr>
      <w:r>
        <w:rPr>
          <w:color w:val="36492E"/>
          <w:sz w:val="23"/>
        </w:rPr>
        <w:t>Cleopas is building a new way to explore life's biggest questions about faith and existence. It combines deeply governed research with AI so a person can privately explore a much wider set of evidence, arguments and perspectives than any single human could reasonably hold in their head, through a conversation that moves at their pace.</w:t>
      </w:r>
    </w:p>
    <w:p>
      <w:pPr>
        <w:spacing w:after="140"/>
      </w:pPr>
      <w:r>
        <w:t>The A$15 million ask is not a technology vanity budget. It is a plan to make the product intellectually stronger and get it into real users' hands quickly. The money primarily buys four things: more engineering capacity, a serious internal research operation, independent external challenge, and thousands of hours of paid real-user testing.</w:t>
      </w:r>
    </w:p>
    <w:p>
      <w:pPr>
        <w:spacing w:after="140"/>
      </w:pPr>
      <w:r>
        <w:t>The working assumption is a single capitalisation event. The goal is therefore to fund Cleopas well enough that the company does not have to slow down, narrow the research programme or depend on another fundraising round while the product is still proving itself.</w:t>
      </w:r>
    </w:p>
    <w:p>
      <w:pPr>
        <w:spacing w:before="200" w:after="60"/>
      </w:pPr>
      <w:r>
        <w:rPr>
          <w:rFonts w:ascii="Arial" w:hAnsi="Arial"/>
          <w:b/>
          <w:color w:val="CFA24F"/>
          <w:sz w:val="16"/>
        </w:rPr>
        <w:t>02 · THE CAPITAL LOGIC</w:t>
      </w:r>
    </w:p>
    <w:p>
      <w:pPr>
        <w:pStyle w:val="Heading1"/>
      </w:pPr>
      <w:r>
        <w:t>A$9.05M to build and learn fast. A$5.95M to protect the mission.</w:t>
      </w:r>
    </w:p>
    <w:p>
      <w:pPr>
        <w:spacing w:after="140"/>
      </w:pPr>
      <w:r>
        <w:rPr>
          <w:color w:val="36492E"/>
          <w:sz w:val="23"/>
        </w:rPr>
        <w:t>A$15 million raised does not mean A$15 million immediately spent. The first 24-month programme is approximately A$9.05 million. The remaining A$5.95 million is protected strategic reserve for years three to five, sovereignty, specialist escalation, extra user cohorts and downside protection. The reserve is not a spending target.</w:t>
      </w:r>
    </w:p>
    <w:p>
      <w:pPr>
        <w:spacing w:before="200" w:after="60"/>
      </w:pPr>
      <w:r>
        <w:rPr>
          <w:rFonts w:ascii="Arial" w:hAnsi="Arial"/>
          <w:b/>
          <w:color w:val="CFA24F"/>
          <w:sz w:val="16"/>
        </w:rPr>
        <w:t>03 · FIRST 24-MONTH DEPLOYMENT</w:t>
      </w:r>
    </w:p>
    <w:p>
      <w:pPr>
        <w:pStyle w:val="Heading1"/>
      </w:pPr>
      <w:r>
        <w:t>Front-load the expensive learning.</w:t>
      </w:r>
    </w:p>
    <w:tbl>
      <w:tblPr>
        <w:tblStyle w:val="TableGrid"/>
        <w:tblW w:type="auto" w:w="0"/>
        <w:tblLayout w:type="fixed"/>
        <w:tblLook w:firstColumn="1" w:firstRow="1" w:lastColumn="0" w:lastRow="0" w:noHBand="0" w:noVBand="1" w:val="04A0"/>
      </w:tblPr>
      <w:tblGrid>
        <w:gridCol w:w="2880"/>
        <w:gridCol w:w="1512"/>
        <w:gridCol w:w="5400"/>
      </w:tblGrid>
      <w:tr>
        <w:tc>
          <w:tcPr>
            <w:tcW w:type="dxa" w:w="3456"/>
            <w:shd w:fill="22372B"/>
            <w:tcMar>
              <w:top w:w="110" w:type="dxa"/>
              <w:start w:w="110" w:type="dxa"/>
              <w:bottom w:w="110" w:type="dxa"/>
              <w:end w:w="110" w:type="dxa"/>
            </w:tcMar>
            <w:vAlign w:val="center"/>
          </w:tcPr>
          <w:p>
            <w:r>
              <w:rPr>
                <w:b/>
                <w:color w:val="FFFFFF"/>
                <w:sz w:val="18"/>
              </w:rPr>
              <w:t>Workstream</w:t>
            </w:r>
          </w:p>
        </w:tc>
        <w:tc>
          <w:tcPr>
            <w:tcW w:type="dxa" w:w="3456"/>
            <w:shd w:fill="22372B"/>
            <w:tcMar>
              <w:top w:w="110" w:type="dxa"/>
              <w:start w:w="110" w:type="dxa"/>
              <w:bottom w:w="110" w:type="dxa"/>
              <w:end w:w="110" w:type="dxa"/>
            </w:tcMar>
            <w:vAlign w:val="center"/>
          </w:tcPr>
          <w:p>
            <w:r>
              <w:rPr>
                <w:b/>
                <w:color w:val="FFFFFF"/>
                <w:sz w:val="18"/>
              </w:rPr>
              <w:t>24 months</w:t>
            </w:r>
          </w:p>
        </w:tc>
        <w:tc>
          <w:tcPr>
            <w:tcW w:type="dxa" w:w="3456"/>
            <w:shd w:fill="22372B"/>
            <w:tcMar>
              <w:top w:w="110" w:type="dxa"/>
              <w:start w:w="110" w:type="dxa"/>
              <w:bottom w:w="110" w:type="dxa"/>
              <w:end w:w="110" w:type="dxa"/>
            </w:tcMar>
            <w:vAlign w:val="center"/>
          </w:tcPr>
          <w:p>
            <w:r>
              <w:rPr>
                <w:b/>
                <w:color w:val="FFFFFF"/>
                <w:sz w:val="18"/>
              </w:rPr>
              <w:t>What it should create</w:t>
            </w:r>
          </w:p>
        </w:tc>
      </w:tr>
      <w:tr>
        <w:tc>
          <w:tcPr>
            <w:tcW w:type="dxa" w:w="2880"/>
            <w:tcMar>
              <w:top w:w="110" w:type="dxa"/>
              <w:start w:w="110" w:type="dxa"/>
              <w:bottom w:w="110" w:type="dxa"/>
              <w:end w:w="110" w:type="dxa"/>
            </w:tcMar>
            <w:vAlign w:val="center"/>
          </w:tcPr>
          <w:p>
            <w:r>
              <w:rPr>
                <w:sz w:val="17"/>
              </w:rPr>
              <w:t>Engineering + product</w:t>
            </w:r>
          </w:p>
        </w:tc>
        <w:tc>
          <w:tcPr>
            <w:tcW w:type="dxa" w:w="1512"/>
            <w:tcMar>
              <w:top w:w="110" w:type="dxa"/>
              <w:start w:w="110" w:type="dxa"/>
              <w:bottom w:w="110" w:type="dxa"/>
              <w:end w:w="110" w:type="dxa"/>
            </w:tcMar>
            <w:vAlign w:val="center"/>
          </w:tcPr>
          <w:p>
            <w:r>
              <w:rPr>
                <w:sz w:val="17"/>
              </w:rPr>
              <w:t>A$3.05M</w:t>
            </w:r>
          </w:p>
        </w:tc>
        <w:tc>
          <w:tcPr>
            <w:tcW w:type="dxa" w:w="5400"/>
            <w:tcMar>
              <w:top w:w="110" w:type="dxa"/>
              <w:start w:w="110" w:type="dxa"/>
              <w:bottom w:w="110" w:type="dxa"/>
              <w:end w:w="110" w:type="dxa"/>
            </w:tcMar>
            <w:vAlign w:val="center"/>
          </w:tcPr>
          <w:p>
            <w:r>
              <w:rPr>
                <w:sz w:val="17"/>
              </w:rPr>
              <w:t>4 to 6 engineers early, governed product, evidence graph, retrieval, evaluations, research tooling, security foundations</w:t>
            </w:r>
          </w:p>
        </w:tc>
      </w:tr>
      <w:tr>
        <w:tc>
          <w:tcPr>
            <w:tcW w:type="dxa" w:w="2880"/>
            <w:tcMar>
              <w:top w:w="110" w:type="dxa"/>
              <w:start w:w="110" w:type="dxa"/>
              <w:bottom w:w="110" w:type="dxa"/>
              <w:end w:w="110" w:type="dxa"/>
            </w:tcMar>
            <w:vAlign w:val="center"/>
          </w:tcPr>
          <w:p>
            <w:r>
              <w:rPr>
                <w:sz w:val="17"/>
              </w:rPr>
              <w:t>Internal research operations</w:t>
            </w:r>
          </w:p>
        </w:tc>
        <w:tc>
          <w:tcPr>
            <w:tcW w:type="dxa" w:w="1512"/>
            <w:tcMar>
              <w:top w:w="110" w:type="dxa"/>
              <w:start w:w="110" w:type="dxa"/>
              <w:bottom w:w="110" w:type="dxa"/>
              <w:end w:w="110" w:type="dxa"/>
            </w:tcMar>
            <w:vAlign w:val="center"/>
          </w:tcPr>
          <w:p>
            <w:r>
              <w:rPr>
                <w:sz w:val="17"/>
              </w:rPr>
              <w:t>A$1.55M</w:t>
            </w:r>
          </w:p>
        </w:tc>
        <w:tc>
          <w:tcPr>
            <w:tcW w:type="dxa" w:w="5400"/>
            <w:tcMar>
              <w:top w:w="110" w:type="dxa"/>
              <w:start w:w="110" w:type="dxa"/>
              <w:bottom w:w="110" w:type="dxa"/>
              <w:end w:w="110" w:type="dxa"/>
            </w:tcMar>
            <w:vAlign w:val="center"/>
          </w:tcPr>
          <w:p>
            <w:r>
              <w:rPr>
                <w:sz w:val="17"/>
              </w:rPr>
              <w:t>Research team, claim decomposition, source mapping, tagging, provenance, quality control and review preparation</w:t>
            </w:r>
          </w:p>
        </w:tc>
      </w:tr>
      <w:tr>
        <w:tc>
          <w:tcPr>
            <w:tcW w:type="dxa" w:w="2880"/>
            <w:tcMar>
              <w:top w:w="110" w:type="dxa"/>
              <w:start w:w="110" w:type="dxa"/>
              <w:bottom w:w="110" w:type="dxa"/>
              <w:end w:w="110" w:type="dxa"/>
            </w:tcMar>
            <w:vAlign w:val="center"/>
          </w:tcPr>
          <w:p>
            <w:r>
              <w:rPr>
                <w:sz w:val="17"/>
              </w:rPr>
              <w:t>External scholars + specialist review</w:t>
            </w:r>
          </w:p>
        </w:tc>
        <w:tc>
          <w:tcPr>
            <w:tcW w:type="dxa" w:w="1512"/>
            <w:tcMar>
              <w:top w:w="110" w:type="dxa"/>
              <w:start w:w="110" w:type="dxa"/>
              <w:bottom w:w="110" w:type="dxa"/>
              <w:end w:w="110" w:type="dxa"/>
            </w:tcMar>
            <w:vAlign w:val="center"/>
          </w:tcPr>
          <w:p>
            <w:r>
              <w:rPr>
                <w:sz w:val="17"/>
              </w:rPr>
              <w:t>A$0.80M</w:t>
            </w:r>
          </w:p>
        </w:tc>
        <w:tc>
          <w:tcPr>
            <w:tcW w:type="dxa" w:w="5400"/>
            <w:tcMar>
              <w:top w:w="110" w:type="dxa"/>
              <w:start w:w="110" w:type="dxa"/>
              <w:bottom w:w="110" w:type="dxa"/>
              <w:end w:w="110" w:type="dxa"/>
            </w:tcMar>
            <w:vAlign w:val="center"/>
          </w:tcPr>
          <w:p>
            <w:r>
              <w:rPr>
                <w:sz w:val="17"/>
              </w:rPr>
              <w:t>150 to 250 independent review assignments across the first 50 major questions, plus premium specialist reserve</w:t>
            </w:r>
          </w:p>
        </w:tc>
      </w:tr>
      <w:tr>
        <w:tc>
          <w:tcPr>
            <w:tcW w:type="dxa" w:w="2880"/>
            <w:tcMar>
              <w:top w:w="110" w:type="dxa"/>
              <w:start w:w="110" w:type="dxa"/>
              <w:bottom w:w="110" w:type="dxa"/>
              <w:end w:w="110" w:type="dxa"/>
            </w:tcMar>
            <w:vAlign w:val="center"/>
          </w:tcPr>
          <w:p>
            <w:r>
              <w:rPr>
                <w:sz w:val="17"/>
              </w:rPr>
              <w:t>Paid alpha + beta user programme</w:t>
            </w:r>
          </w:p>
        </w:tc>
        <w:tc>
          <w:tcPr>
            <w:tcW w:type="dxa" w:w="1512"/>
            <w:tcMar>
              <w:top w:w="110" w:type="dxa"/>
              <w:start w:w="110" w:type="dxa"/>
              <w:bottom w:w="110" w:type="dxa"/>
              <w:end w:w="110" w:type="dxa"/>
            </w:tcMar>
            <w:vAlign w:val="center"/>
          </w:tcPr>
          <w:p>
            <w:r>
              <w:rPr>
                <w:sz w:val="17"/>
              </w:rPr>
              <w:t>A$1.50M</w:t>
            </w:r>
          </w:p>
        </w:tc>
        <w:tc>
          <w:tcPr>
            <w:tcW w:type="dxa" w:w="5400"/>
            <w:tcMar>
              <w:top w:w="110" w:type="dxa"/>
              <w:start w:w="110" w:type="dxa"/>
              <w:bottom w:w="110" w:type="dxa"/>
              <w:end w:w="110" w:type="dxa"/>
            </w:tcMar>
            <w:vAlign w:val="center"/>
          </w:tcPr>
          <w:p>
            <w:r>
              <w:rPr>
                <w:sz w:val="17"/>
              </w:rPr>
              <w:t>Staged cohorts building toward about 1,000 intensive participants and roughly 10,000 hours of real product use</w:t>
            </w:r>
          </w:p>
        </w:tc>
      </w:tr>
      <w:tr>
        <w:tc>
          <w:tcPr>
            <w:tcW w:type="dxa" w:w="2880"/>
            <w:tcMar>
              <w:top w:w="110" w:type="dxa"/>
              <w:start w:w="110" w:type="dxa"/>
              <w:bottom w:w="110" w:type="dxa"/>
              <w:end w:w="110" w:type="dxa"/>
            </w:tcMar>
            <w:vAlign w:val="center"/>
          </w:tcPr>
          <w:p>
            <w:r>
              <w:rPr>
                <w:sz w:val="17"/>
              </w:rPr>
              <w:t>Compute, model experimentation + security</w:t>
            </w:r>
          </w:p>
        </w:tc>
        <w:tc>
          <w:tcPr>
            <w:tcW w:type="dxa" w:w="1512"/>
            <w:tcMar>
              <w:top w:w="110" w:type="dxa"/>
              <w:start w:w="110" w:type="dxa"/>
              <w:bottom w:w="110" w:type="dxa"/>
              <w:end w:w="110" w:type="dxa"/>
            </w:tcMar>
            <w:vAlign w:val="center"/>
          </w:tcPr>
          <w:p>
            <w:r>
              <w:rPr>
                <w:sz w:val="17"/>
              </w:rPr>
              <w:t>A$0.65M</w:t>
            </w:r>
          </w:p>
        </w:tc>
        <w:tc>
          <w:tcPr>
            <w:tcW w:type="dxa" w:w="5400"/>
            <w:tcMar>
              <w:top w:w="110" w:type="dxa"/>
              <w:start w:w="110" w:type="dxa"/>
              <w:bottom w:w="110" w:type="dxa"/>
              <w:end w:w="110" w:type="dxa"/>
            </w:tcMar>
            <w:vAlign w:val="center"/>
          </w:tcPr>
          <w:p>
            <w:r>
              <w:rPr>
                <w:sz w:val="17"/>
              </w:rPr>
              <w:t>Inference, embeddings, model bake-offs, evaluation runs, observability and sovereign-hosting experiments</w:t>
            </w:r>
          </w:p>
        </w:tc>
      </w:tr>
      <w:tr>
        <w:tc>
          <w:tcPr>
            <w:tcW w:type="dxa" w:w="2880"/>
            <w:tcMar>
              <w:top w:w="110" w:type="dxa"/>
              <w:start w:w="110" w:type="dxa"/>
              <w:bottom w:w="110" w:type="dxa"/>
              <w:end w:w="110" w:type="dxa"/>
            </w:tcMar>
            <w:vAlign w:val="center"/>
          </w:tcPr>
          <w:p>
            <w:r>
              <w:rPr>
                <w:sz w:val="17"/>
              </w:rPr>
              <w:t>Legal, governance, IP + privacy</w:t>
            </w:r>
          </w:p>
        </w:tc>
        <w:tc>
          <w:tcPr>
            <w:tcW w:type="dxa" w:w="1512"/>
            <w:tcMar>
              <w:top w:w="110" w:type="dxa"/>
              <w:start w:w="110" w:type="dxa"/>
              <w:bottom w:w="110" w:type="dxa"/>
              <w:end w:w="110" w:type="dxa"/>
            </w:tcMar>
            <w:vAlign w:val="center"/>
          </w:tcPr>
          <w:p>
            <w:r>
              <w:rPr>
                <w:sz w:val="17"/>
              </w:rPr>
              <w:t>A$0.35M</w:t>
            </w:r>
          </w:p>
        </w:tc>
        <w:tc>
          <w:tcPr>
            <w:tcW w:type="dxa" w:w="5400"/>
            <w:tcMar>
              <w:top w:w="110" w:type="dxa"/>
              <w:start w:w="110" w:type="dxa"/>
              <w:bottom w:w="110" w:type="dxa"/>
              <w:end w:w="110" w:type="dxa"/>
            </w:tcMar>
            <w:vAlign w:val="center"/>
          </w:tcPr>
          <w:p>
            <w:r>
              <w:rPr>
                <w:sz w:val="17"/>
              </w:rPr>
              <w:t>Licensing, consent, scholar agreements, IP assignment, privacy and entity work</w:t>
            </w:r>
          </w:p>
        </w:tc>
      </w:tr>
      <w:tr>
        <w:tc>
          <w:tcPr>
            <w:tcW w:type="dxa" w:w="2880"/>
            <w:tcMar>
              <w:top w:w="110" w:type="dxa"/>
              <w:start w:w="110" w:type="dxa"/>
              <w:bottom w:w="110" w:type="dxa"/>
              <w:end w:w="110" w:type="dxa"/>
            </w:tcMar>
            <w:vAlign w:val="center"/>
          </w:tcPr>
          <w:p>
            <w:r>
              <w:rPr>
                <w:sz w:val="17"/>
              </w:rPr>
              <w:t>Distribution, partnerships + brand</w:t>
            </w:r>
          </w:p>
        </w:tc>
        <w:tc>
          <w:tcPr>
            <w:tcW w:type="dxa" w:w="1512"/>
            <w:tcMar>
              <w:top w:w="110" w:type="dxa"/>
              <w:start w:w="110" w:type="dxa"/>
              <w:bottom w:w="110" w:type="dxa"/>
              <w:end w:w="110" w:type="dxa"/>
            </w:tcMar>
            <w:vAlign w:val="center"/>
          </w:tcPr>
          <w:p>
            <w:r>
              <w:rPr>
                <w:sz w:val="17"/>
              </w:rPr>
              <w:t>A$0.50M</w:t>
            </w:r>
          </w:p>
        </w:tc>
        <w:tc>
          <w:tcPr>
            <w:tcW w:type="dxa" w:w="5400"/>
            <w:tcMar>
              <w:top w:w="110" w:type="dxa"/>
              <w:start w:w="110" w:type="dxa"/>
              <w:bottom w:w="110" w:type="dxa"/>
              <w:end w:w="110" w:type="dxa"/>
            </w:tcMar>
            <w:vAlign w:val="center"/>
          </w:tcPr>
          <w:p>
            <w:r>
              <w:rPr>
                <w:sz w:val="17"/>
              </w:rPr>
              <w:t>Controlled partner cohorts, launch preparation and measured channel testing</w:t>
            </w:r>
          </w:p>
        </w:tc>
      </w:tr>
      <w:tr>
        <w:tc>
          <w:tcPr>
            <w:tcW w:type="dxa" w:w="2880"/>
            <w:tcMar>
              <w:top w:w="110" w:type="dxa"/>
              <w:start w:w="110" w:type="dxa"/>
              <w:bottom w:w="110" w:type="dxa"/>
              <w:end w:w="110" w:type="dxa"/>
            </w:tcMar>
            <w:vAlign w:val="center"/>
          </w:tcPr>
          <w:p>
            <w:r>
              <w:rPr>
                <w:sz w:val="17"/>
              </w:rPr>
              <w:t>Operations + contingency</w:t>
            </w:r>
          </w:p>
        </w:tc>
        <w:tc>
          <w:tcPr>
            <w:tcW w:type="dxa" w:w="1512"/>
            <w:tcMar>
              <w:top w:w="110" w:type="dxa"/>
              <w:start w:w="110" w:type="dxa"/>
              <w:bottom w:w="110" w:type="dxa"/>
              <w:end w:w="110" w:type="dxa"/>
            </w:tcMar>
            <w:vAlign w:val="center"/>
          </w:tcPr>
          <w:p>
            <w:r>
              <w:rPr>
                <w:sz w:val="17"/>
              </w:rPr>
              <w:t>A$0.65M</w:t>
            </w:r>
          </w:p>
        </w:tc>
        <w:tc>
          <w:tcPr>
            <w:tcW w:type="dxa" w:w="5400"/>
            <w:tcMar>
              <w:top w:w="110" w:type="dxa"/>
              <w:start w:w="110" w:type="dxa"/>
              <w:bottom w:w="110" w:type="dxa"/>
              <w:end w:w="110" w:type="dxa"/>
            </w:tcMar>
            <w:vAlign w:val="center"/>
          </w:tcPr>
          <w:p>
            <w:r>
              <w:rPr>
                <w:sz w:val="17"/>
              </w:rPr>
              <w:t>Operating overhead and protected contingency</w:t>
            </w:r>
          </w:p>
        </w:tc>
      </w:tr>
      <w:tr>
        <w:tc>
          <w:tcPr>
            <w:tcW w:type="dxa" w:w="2880"/>
            <w:tcMar>
              <w:top w:w="110" w:type="dxa"/>
              <w:start w:w="110" w:type="dxa"/>
              <w:bottom w:w="110" w:type="dxa"/>
              <w:end w:w="110" w:type="dxa"/>
            </w:tcMar>
            <w:vAlign w:val="center"/>
            <w:shd w:fill="EEE8DC"/>
          </w:tcPr>
          <w:p>
            <w:r>
              <w:rPr>
                <w:b/>
                <w:sz w:val="17"/>
              </w:rPr>
              <w:t>TOTAL</w:t>
            </w:r>
          </w:p>
        </w:tc>
        <w:tc>
          <w:tcPr>
            <w:tcW w:type="dxa" w:w="1512"/>
            <w:tcMar>
              <w:top w:w="110" w:type="dxa"/>
              <w:start w:w="110" w:type="dxa"/>
              <w:bottom w:w="110" w:type="dxa"/>
              <w:end w:w="110" w:type="dxa"/>
            </w:tcMar>
            <w:vAlign w:val="center"/>
            <w:shd w:fill="EEE8DC"/>
          </w:tcPr>
          <w:p>
            <w:r>
              <w:rPr>
                <w:b/>
                <w:sz w:val="17"/>
              </w:rPr>
              <w:t>A$9.05M</w:t>
            </w:r>
          </w:p>
        </w:tc>
        <w:tc>
          <w:tcPr>
            <w:tcW w:type="dxa" w:w="5400"/>
            <w:tcMar>
              <w:top w:w="110" w:type="dxa"/>
              <w:start w:w="110" w:type="dxa"/>
              <w:bottom w:w="110" w:type="dxa"/>
              <w:end w:w="110" w:type="dxa"/>
            </w:tcMar>
            <w:vAlign w:val="center"/>
            <w:shd w:fill="EEE8DC"/>
          </w:tcPr>
          <w:p>
            <w:r>
              <w:rPr>
                <w:b/>
                <w:sz w:val="17"/>
              </w:rPr>
              <w:t>Front-loaded build and learning programme</w:t>
            </w:r>
          </w:p>
        </w:tc>
      </w:tr>
    </w:tbl>
    <w:p>
      <w:pPr>
        <w:spacing w:before="200" w:after="60"/>
      </w:pPr>
      <w:r>
        <w:rPr>
          <w:rFonts w:ascii="Arial" w:hAnsi="Arial"/>
          <w:b/>
          <w:color w:val="CFA24F"/>
          <w:sz w:val="16"/>
        </w:rPr>
        <w:t>04 · ENGINEERING</w:t>
      </w:r>
    </w:p>
    <w:p>
      <w:pPr>
        <w:pStyle w:val="Heading1"/>
      </w:pPr>
      <w:r>
        <w:t>More engineers early because time to market matters.</w:t>
      </w:r>
    </w:p>
    <w:p>
      <w:pPr>
        <w:spacing w:after="140"/>
      </w:pPr>
      <w:r>
        <w:rPr>
          <w:color w:val="36492E"/>
          <w:sz w:val="23"/>
        </w:rPr>
        <w:t>Cleopas should not spend a year producing research while a tiny engineering team slowly builds around it. The plan assumes 4 to 6 engineers early, with product and design support, so the Evidence Landscape, conversational system, evaluations and research tooling can develop at the same time.</w:t>
      </w:r>
    </w:p>
    <w:p>
      <w:pPr>
        <w:pStyle w:val="ListBullet"/>
        <w:spacing w:after="60"/>
      </w:pPr>
      <w:r>
        <w:t>Private alpha within months</w:t>
      </w:r>
    </w:p>
    <w:p>
      <w:pPr>
        <w:pStyle w:val="ListBullet"/>
        <w:spacing w:after="60"/>
      </w:pPr>
      <w:r>
        <w:t>Closed beta in months 3 to 6</w:t>
      </w:r>
    </w:p>
    <w:p>
      <w:pPr>
        <w:pStyle w:val="ListBullet"/>
        <w:spacing w:after="60"/>
      </w:pPr>
      <w:r>
        <w:t>Evidence graph and claim decomposition tooling</w:t>
      </w:r>
    </w:p>
    <w:p>
      <w:pPr>
        <w:pStyle w:val="ListBullet"/>
        <w:spacing w:after="60"/>
      </w:pPr>
      <w:r>
        <w:t>Source dependence, citations and provenance controls</w:t>
      </w:r>
    </w:p>
    <w:p>
      <w:pPr>
        <w:pStyle w:val="ListBullet"/>
        <w:spacing w:after="60"/>
      </w:pPr>
      <w:r>
        <w:t>Maximum-defensible-language enforcement</w:t>
      </w:r>
    </w:p>
    <w:p>
      <w:pPr>
        <w:pStyle w:val="ListBullet"/>
        <w:spacing w:after="60"/>
      </w:pPr>
      <w:r>
        <w:t>Conversational behaviour that changes pace without changing the evidence state</w:t>
      </w:r>
    </w:p>
    <w:p>
      <w:pPr>
        <w:pStyle w:val="ListBullet"/>
        <w:spacing w:after="60"/>
      </w:pPr>
      <w:r>
        <w:t>Automated evaluations and adversarial regression tests</w:t>
      </w:r>
    </w:p>
    <w:p>
      <w:pPr>
        <w:pStyle w:val="ListBullet"/>
        <w:spacing w:after="60"/>
      </w:pPr>
      <w:r>
        <w:t>Research tooling that increasingly reduces manual work per governed topic</w:t>
      </w:r>
    </w:p>
    <w:p>
      <w:pPr>
        <w:spacing w:before="200" w:after="60"/>
      </w:pPr>
      <w:r>
        <w:rPr>
          <w:rFonts w:ascii="Arial" w:hAnsi="Arial"/>
          <w:b/>
          <w:color w:val="CFA24F"/>
          <w:sz w:val="16"/>
        </w:rPr>
        <w:t>05 · RESEARCH</w:t>
      </w:r>
    </w:p>
    <w:p>
      <w:pPr>
        <w:pStyle w:val="Heading1"/>
      </w:pPr>
      <w:r>
        <w:t>The research team is one of the company's two production engines.</w:t>
      </w:r>
    </w:p>
    <w:p>
      <w:pPr>
        <w:spacing w:after="140"/>
      </w:pPr>
      <w:r>
        <w:rPr>
          <w:color w:val="36492E"/>
          <w:sz w:val="23"/>
        </w:rPr>
        <w:t>Internal researchers do the repeatable work: assemble sources, split questions into claims, map evidence families, tag provenance, identify competing explanations and prepare material for external attack. Expensive scholars should spend their time challenging difficult judgments, not doing work the internal team can do.</w:t>
      </w:r>
    </w:p>
    <w:p>
      <w:pPr>
        <w:spacing w:after="140"/>
      </w:pPr>
      <w:r>
        <w:t>The long-term scaling test is whether human research hours per governed topic fall while traceability, external defensibility and overclaim performance stay stable or improve.</w:t>
      </w:r>
    </w:p>
    <w:p>
      <w:pPr>
        <w:spacing w:before="200" w:after="60"/>
      </w:pPr>
      <w:r>
        <w:rPr>
          <w:rFonts w:ascii="Arial" w:hAnsi="Arial"/>
          <w:b/>
          <w:color w:val="CFA24F"/>
          <w:sz w:val="16"/>
        </w:rPr>
        <w:t>06 · EXTERNAL CHALLENGE</w:t>
      </w:r>
    </w:p>
    <w:p>
      <w:pPr>
        <w:pStyle w:val="Heading1"/>
      </w:pPr>
      <w:r>
        <w:t>Fifty major questions. Hundreds of independent review assignments.</w:t>
      </w:r>
    </w:p>
    <w:p>
      <w:pPr>
        <w:spacing w:after="140"/>
      </w:pPr>
      <w:r>
        <w:rPr>
          <w:color w:val="36492E"/>
          <w:sz w:val="23"/>
        </w:rPr>
        <w:t>The first 50 major questions should be unusually expensive and unusually well challenged. A simple planning assumption is US$1,000 per review, with 3 to 5 independent reviews per question. That creates 150 to 250 review assignments before premium specialists are added.</w:t>
      </w:r>
    </w:p>
    <w:p>
      <w:pPr>
        <w:spacing w:after="140"/>
      </w:pPr>
      <w:r>
        <w:t>The A$0.80M budget is deliberately larger than the simple per-review calculation. Some globally recognised specialists may cost materially more. Some questions will require several disciplines. A global network of roughly 70 to 100 scholars could provide overlapping independent expertise across the first major question set.</w:t>
      </w:r>
    </w:p>
    <w:p>
      <w:pPr>
        <w:spacing w:before="200" w:after="60"/>
      </w:pPr>
      <w:r>
        <w:rPr>
          <w:rFonts w:ascii="Arial" w:hAnsi="Arial"/>
          <w:b/>
          <w:color w:val="CFA24F"/>
          <w:sz w:val="16"/>
        </w:rPr>
        <w:t>07 · PURPOSE-BLIND VALIDATION</w:t>
      </w:r>
    </w:p>
    <w:p>
      <w:pPr>
        <w:pStyle w:val="Heading1"/>
      </w:pPr>
      <w:r>
        <w:t>Confidentiality and anti-contamination can be the same design choice.</w:t>
      </w:r>
    </w:p>
    <w:p>
      <w:pPr>
        <w:spacing w:after="140"/>
      </w:pPr>
      <w:r>
        <w:rPr>
          <w:color w:val="36492E"/>
          <w:sz w:val="23"/>
        </w:rPr>
        <w:t>A scholar can receive a claim, source set and review task without being told the wider product thesis, the desired conclusion or what another reviewer has already said. Reviewers work independently, disagreement is preserved, and no single reviewer becomes the authority.</w:t>
      </w:r>
    </w:p>
    <w:p>
      <w:pPr>
        <w:spacing w:after="140"/>
      </w:pPr>
      <w:r>
        <w:t>The same principle can apply to user research where appropriate. Participants must still receive proper consent information about what they are testing, compensation, recording, data use and relevant risks. They do not need to be primed with preferred hypotheses or the conclusions of earlier cohorts before giving their own reactions.</w:t>
      </w:r>
    </w:p>
    <w:p>
      <w:pPr>
        <w:spacing w:after="140"/>
      </w:pPr>
      <w:r>
        <w:t>This is purpose-blind independent research and product validation, not a formal clinical trial. Any withholding of hypothesis or product context should be designed with appropriate consent, privacy and research-governance advice.</w:t>
      </w:r>
    </w:p>
    <w:p>
      <w:pPr>
        <w:spacing w:before="200" w:after="60"/>
      </w:pPr>
      <w:r>
        <w:rPr>
          <w:rFonts w:ascii="Arial" w:hAnsi="Arial"/>
          <w:b/>
          <w:color w:val="CFA24F"/>
          <w:sz w:val="16"/>
        </w:rPr>
        <w:t>08 · PAID USER RESEARCH</w:t>
      </w:r>
    </w:p>
    <w:p>
      <w:pPr>
        <w:pStyle w:val="Heading1"/>
      </w:pPr>
      <w:r>
        <w:t>Pay 1,000 people enough to stay long enough to find the flaws.</w:t>
      </w:r>
    </w:p>
    <w:p>
      <w:pPr>
        <w:spacing w:after="140"/>
      </w:pPr>
      <w:r>
        <w:rPr>
          <w:color w:val="36492E"/>
          <w:sz w:val="23"/>
        </w:rPr>
        <w:t>The working protocol asks for roughly 8 to 10 hours of use over one to two weeks, across several question families, followed by structured feedback and interview work. A working honorarium of roughly US$1,000 per participant deliberately overpays for depth.</w:t>
      </w:r>
    </w:p>
    <w:p>
      <w:pPr>
        <w:pStyle w:val="ListBullet"/>
        <w:spacing w:after="60"/>
      </w:pPr>
      <w:r>
        <w:t>About 1,000 paid participants</w:t>
      </w:r>
    </w:p>
    <w:p>
      <w:pPr>
        <w:pStyle w:val="ListBullet"/>
        <w:spacing w:after="60"/>
      </w:pPr>
      <w:r>
        <w:t>About 8 to 10 hours per participant</w:t>
      </w:r>
    </w:p>
    <w:p>
      <w:pPr>
        <w:pStyle w:val="ListBullet"/>
        <w:spacing w:after="60"/>
      </w:pPr>
      <w:r>
        <w:t>About 10,000 hours of real product use</w:t>
      </w:r>
    </w:p>
    <w:p>
      <w:pPr>
        <w:pStyle w:val="ListBullet"/>
        <w:spacing w:after="60"/>
      </w:pPr>
      <w:r>
        <w:t>Trust, fairness, clarity, depth, bias, warmth and overclaim scoring</w:t>
      </w:r>
    </w:p>
    <w:p>
      <w:pPr>
        <w:pStyle w:val="ListBullet"/>
        <w:spacing w:after="60"/>
      </w:pPr>
      <w:r>
        <w:t>Structured capture of what changed minds, failed to move them, irritated them or caused loss of trust</w:t>
      </w:r>
    </w:p>
    <w:p>
      <w:pPr>
        <w:pStyle w:val="ListBullet"/>
        <w:spacing w:after="60"/>
      </w:pPr>
      <w:r>
        <w:t>Staged cohorts such as 50, 150, 300 and 500 so every group improves the next version</w:t>
      </w:r>
    </w:p>
    <w:p>
      <w:pPr>
        <w:spacing w:before="200" w:after="60"/>
      </w:pPr>
      <w:r>
        <w:rPr>
          <w:rFonts w:ascii="Arial" w:hAnsi="Arial"/>
          <w:b/>
          <w:color w:val="CFA24F"/>
          <w:sz w:val="16"/>
        </w:rPr>
        <w:t>09 · COMPUTE, GOVERNANCE AND DISTRIBUTION</w:t>
      </w:r>
    </w:p>
    <w:p>
      <w:pPr>
        <w:pStyle w:val="Heading1"/>
      </w:pPr>
      <w:r>
        <w:t>Support the evidence system without letting infrastructure dominate the budget.</w:t>
      </w:r>
    </w:p>
    <w:p>
      <w:pPr>
        <w:spacing w:after="140"/>
      </w:pPr>
      <w:r>
        <w:rPr>
          <w:color w:val="36492E"/>
          <w:sz w:val="23"/>
        </w:rPr>
        <w:t>At early scale, people and research are expected to cost more than inference. Compute funds model bake-offs, inference, embeddings, evaluation runs, secure environments and sovereign-hosting experiments. Legal and governance funding covers licensing, consent, scholar agreements, IP assignment, privacy and cross-border structure. Distribution funding is for controlled channel testing, not mass acquisition before trust is proven.</w:t>
      </w:r>
    </w:p>
    <w:p>
      <w:pPr>
        <w:spacing w:before="200" w:after="60"/>
      </w:pPr>
      <w:r>
        <w:rPr>
          <w:rFonts w:ascii="Arial" w:hAnsi="Arial"/>
          <w:b/>
          <w:color w:val="CFA24F"/>
          <w:sz w:val="16"/>
        </w:rPr>
        <w:t>10 · PROTECTED RESERVE</w:t>
      </w:r>
    </w:p>
    <w:p>
      <w:pPr>
        <w:pStyle w:val="Heading1"/>
      </w:pPr>
      <w:r>
        <w:t>Raise it once. Spend it only when the evidence says to.</w:t>
      </w:r>
    </w:p>
    <w:p>
      <w:pPr>
        <w:spacing w:after="140"/>
      </w:pPr>
      <w:r>
        <w:rPr>
          <w:color w:val="36492E"/>
          <w:sz w:val="23"/>
        </w:rPr>
        <w:t>The remaining A$5.95 million is deliberately not tied to permanent first-24-month headcount. It protects years three to five and creates the option to move faster when evidence justifies it.</w:t>
      </w:r>
    </w:p>
    <w:p>
      <w:pPr>
        <w:pStyle w:val="ListBullet"/>
        <w:spacing w:after="60"/>
      </w:pPr>
      <w:r>
        <w:t>Sustain the company if supporter revenue develops slowly</w:t>
      </w:r>
    </w:p>
    <w:p>
      <w:pPr>
        <w:pStyle w:val="ListBullet"/>
        <w:spacing w:after="60"/>
      </w:pPr>
      <w:r>
        <w:t>Accelerate research areas real users reveal as important</w:t>
      </w:r>
    </w:p>
    <w:p>
      <w:pPr>
        <w:pStyle w:val="ListBullet"/>
        <w:spacing w:after="60"/>
      </w:pPr>
      <w:r>
        <w:t>Pay premium specialists where one question genuinely deserves it</w:t>
      </w:r>
    </w:p>
    <w:p>
      <w:pPr>
        <w:pStyle w:val="ListBullet"/>
        <w:spacing w:after="60"/>
      </w:pPr>
      <w:r>
        <w:t>Add further beta cohorts</w:t>
      </w:r>
    </w:p>
    <w:p>
      <w:pPr>
        <w:pStyle w:val="ListBullet"/>
        <w:spacing w:after="60"/>
      </w:pPr>
      <w:r>
        <w:t>Deepen sovereign infrastructure and jurisdictional independence</w:t>
      </w:r>
    </w:p>
    <w:p>
      <w:pPr>
        <w:pStyle w:val="ListBullet"/>
        <w:spacing w:after="60"/>
      </w:pPr>
      <w:r>
        <w:t>Respond to serious security or platform dependency risk</w:t>
      </w:r>
    </w:p>
    <w:p>
      <w:pPr>
        <w:pStyle w:val="ListBullet"/>
        <w:spacing w:after="60"/>
      </w:pPr>
      <w:r>
        <w:t>Fund distribution only after a channel demonstrates quality</w:t>
      </w:r>
    </w:p>
    <w:p>
      <w:pPr>
        <w:spacing w:before="200" w:after="60"/>
      </w:pPr>
      <w:r>
        <w:rPr>
          <w:rFonts w:ascii="Arial" w:hAnsi="Arial"/>
          <w:b/>
          <w:color w:val="CFA24F"/>
          <w:sz w:val="16"/>
        </w:rPr>
        <w:t>11 · WHAT A$15M SHOULD CREATE</w:t>
      </w:r>
    </w:p>
    <w:p>
      <w:pPr>
        <w:pStyle w:val="Heading1"/>
      </w:pPr>
      <w:r>
        <w:t>The cheque should be visible in the product and the IP.</w:t>
      </w:r>
    </w:p>
    <w:p>
      <w:pPr>
        <w:pStyle w:val="ListBullet"/>
        <w:spacing w:after="60"/>
      </w:pPr>
      <w:r>
        <w:t>A real live product with substantial beta usage</w:t>
      </w:r>
    </w:p>
    <w:p>
      <w:pPr>
        <w:pStyle w:val="ListBullet"/>
        <w:spacing w:after="60"/>
      </w:pPr>
      <w:r>
        <w:t>50 deeply governed headline questions, each decomposed into many underlying claims</w:t>
      </w:r>
    </w:p>
    <w:p>
      <w:pPr>
        <w:pStyle w:val="ListBullet"/>
        <w:spacing w:after="60"/>
      </w:pPr>
      <w:r>
        <w:t>150 to 250 independent scholar review assignments, plus premium specialist work</w:t>
      </w:r>
    </w:p>
    <w:p>
      <w:pPr>
        <w:pStyle w:val="ListBullet"/>
        <w:spacing w:after="60"/>
      </w:pPr>
      <w:r>
        <w:t>A global specialist network potentially involving 70 to 100 scholars</w:t>
      </w:r>
    </w:p>
    <w:p>
      <w:pPr>
        <w:pStyle w:val="ListBullet"/>
        <w:spacing w:after="60"/>
      </w:pPr>
      <w:r>
        <w:t>Approximately 1,000 intensively paid users and about 10,000 hours of real product use</w:t>
      </w:r>
    </w:p>
    <w:p>
      <w:pPr>
        <w:pStyle w:val="ListBullet"/>
        <w:spacing w:after="60"/>
      </w:pPr>
      <w:r>
        <w:t>A research organisation capable of expanding the Evidence Landscape in parallel with engineering</w:t>
      </w:r>
    </w:p>
    <w:p>
      <w:pPr>
        <w:pStyle w:val="ListBullet"/>
        <w:spacing w:after="60"/>
      </w:pPr>
      <w:r>
        <w:t>A technical system that can identify missing research, propose claim structures and reduce manual research cost</w:t>
      </w:r>
    </w:p>
    <w:p>
      <w:pPr>
        <w:pStyle w:val="ListBullet"/>
        <w:spacing w:after="60"/>
      </w:pPr>
      <w:r>
        <w:t>A durable corpus of provenance, source relationships, competing explanations, reviewer disagreements and maximum defensible language</w:t>
      </w:r>
    </w:p>
    <w:p>
      <w:pPr>
        <w:spacing w:before="200" w:after="60"/>
      </w:pPr>
      <w:r>
        <w:rPr>
          <w:rFonts w:ascii="Arial" w:hAnsi="Arial"/>
          <w:b/>
          <w:color w:val="CFA24F"/>
          <w:sz w:val="16"/>
        </w:rPr>
        <w:t>12 · DOWNSIDE PROTECTION</w:t>
      </w:r>
    </w:p>
    <w:p>
      <w:pPr>
        <w:pStyle w:val="Heading1"/>
      </w:pPr>
      <w:r>
        <w:t>If the consumer product fails, the cheque should still leave something unusually valuable behind.</w:t>
      </w:r>
    </w:p>
    <w:p>
      <w:pPr>
        <w:spacing w:after="140"/>
      </w:pPr>
      <w:r>
        <w:rPr>
          <w:color w:val="36492E"/>
          <w:sz w:val="23"/>
        </w:rPr>
        <w:t>The capital does not primarily disappear into ephemeral model inference. It creates structured research, atomic claim maps, provenance, source relationships, scholar disagreement records, review protocols, evaluation sets, behavioural training material and a repeatable governance method.</w:t>
      </w:r>
    </w:p>
    <w:p>
      <w:pPr>
        <w:spacing w:after="140"/>
      </w:pPr>
      <w:r>
        <w:t>That does not mean the research has a guaranteed A$15 million resale value. It does mean a mission-led funder can be left with a substantial reusable intellectual asset rather than a failed interface and a pile of model invoices. For a church network, seminary, educational organisation, publisher or other Christian institution, that body of work could be reused across education, training, digital products, curriculum, pastoral resources and future AI systems.</w:t>
      </w:r>
    </w:p>
    <w:p>
      <w:pPr>
        <w:spacing w:before="200" w:after="60"/>
      </w:pPr>
      <w:r>
        <w:rPr>
          <w:rFonts w:ascii="Arial" w:hAnsi="Arial"/>
          <w:b/>
          <w:color w:val="CFA24F"/>
          <w:sz w:val="16"/>
        </w:rPr>
        <w:t>13 · CAPITAL THESIS</w:t>
      </w:r>
    </w:p>
    <w:p>
      <w:pPr>
        <w:pStyle w:val="Heading1"/>
      </w:pPr>
      <w:r>
        <w:t>A$15 million is being raised to make the evidence and the learning unusually hard to attack.</w:t>
      </w:r>
    </w:p>
    <w:p>
      <w:pPr>
        <w:spacing w:after="140"/>
      </w:pPr>
      <w:r>
        <w:rPr>
          <w:color w:val="36492E"/>
          <w:sz w:val="23"/>
        </w:rPr>
        <w:t>A$15 million is not being raised to build a chatbot. It is being raised to buy the research depth, independent challenge, engineering speed and real-user learning required to make a new kind of evidence-governed conversation trustworthy enough for life's biggest questions.</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22372B"/>
      <w:sz w:val="4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36492E"/>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color w:val="22372B"/>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